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7A74F6D1" w:rsidR="00A53D00" w:rsidRPr="00C80AC4" w:rsidRDefault="00E165A6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 xml:space="preserve">Date: </w:t>
      </w:r>
      <w:r>
        <w:rPr>
          <w:rFonts w:ascii="Arial" w:hAnsi="Arial" w:cs="Arial"/>
          <w:szCs w:val="24"/>
          <w:u w:val="single"/>
        </w:rPr>
        <w:t>April</w:t>
      </w:r>
      <w:r w:rsidR="0000739C">
        <w:rPr>
          <w:rFonts w:ascii="Arial" w:hAnsi="Arial" w:cs="Arial"/>
          <w:szCs w:val="24"/>
          <w:u w:val="single"/>
        </w:rPr>
        <w:t xml:space="preserve"> 5, 2023</w:t>
      </w:r>
      <w:r w:rsidR="001A34D6" w:rsidRPr="00C80AC4">
        <w:rPr>
          <w:rFonts w:ascii="Arial" w:hAnsi="Arial" w:cs="Arial"/>
          <w:szCs w:val="24"/>
        </w:rPr>
        <w:t xml:space="preserve">________ </w:t>
      </w:r>
      <w:r w:rsidR="00A53D00"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3F0FBFD4" w:rsidR="001A34D6" w:rsidRPr="006453CF" w:rsidRDefault="00A53D00">
      <w:pPr>
        <w:rPr>
          <w:rFonts w:ascii="Arial" w:hAnsi="Arial" w:cs="Arial"/>
          <w:b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  <w:r w:rsidR="00495D5D" w:rsidRPr="006453CF">
        <w:rPr>
          <w:rFonts w:ascii="Arial" w:hAnsi="Arial" w:cs="Arial"/>
          <w:b/>
          <w:szCs w:val="24"/>
        </w:rPr>
        <w:t>In the absence of the Director of DPW Jason Mitchell, Richard Luna Deputy Director of DPW will sit and act on his behalf.</w:t>
      </w:r>
    </w:p>
    <w:p w14:paraId="6E99A6EC" w14:textId="50F256C9" w:rsidR="00A53D00" w:rsidRPr="00C80AC4" w:rsidRDefault="006214C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1061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750A98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61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750A98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310D6D" w14:textId="62AF2ACB" w:rsidR="00EA2A37" w:rsidRPr="0011711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5DCF746" w14:textId="41F01054" w:rsidR="00EA2A37" w:rsidRPr="0011711D" w:rsidRDefault="00B82FB8" w:rsidP="0011711D">
            <w:pPr>
              <w:jc w:val="left"/>
              <w:rPr>
                <w:rFonts w:ascii="Arial" w:hAnsi="Arial" w:cs="Arial"/>
                <w:szCs w:val="24"/>
              </w:rPr>
            </w:pPr>
            <w:r w:rsidRPr="0011711D">
              <w:rPr>
                <w:rFonts w:ascii="Arial" w:hAnsi="Arial" w:cs="Arial"/>
                <w:szCs w:val="24"/>
              </w:rPr>
              <w:t xml:space="preserve">SB-23-10108 </w:t>
            </w:r>
            <w:r w:rsidR="0011711D" w:rsidRPr="0011711D">
              <w:rPr>
                <w:rFonts w:ascii="Arial" w:hAnsi="Arial" w:cs="Arial"/>
                <w:szCs w:val="24"/>
              </w:rPr>
              <w:t xml:space="preserve">– Recreation and Parks </w:t>
            </w:r>
            <w:r w:rsidR="001A02D0">
              <w:rPr>
                <w:rFonts w:ascii="Arial" w:hAnsi="Arial" w:cs="Arial"/>
                <w:szCs w:val="24"/>
              </w:rPr>
              <w:t>–</w:t>
            </w:r>
            <w:r w:rsidR="0011711D" w:rsidRPr="0011711D">
              <w:rPr>
                <w:rFonts w:ascii="Arial" w:hAnsi="Arial" w:cs="Arial"/>
                <w:szCs w:val="24"/>
              </w:rPr>
              <w:t xml:space="preserve"> </w:t>
            </w:r>
            <w:r w:rsidR="001A02D0">
              <w:rPr>
                <w:rFonts w:ascii="Arial" w:hAnsi="Arial" w:cs="Arial"/>
                <w:szCs w:val="24"/>
              </w:rPr>
              <w:t xml:space="preserve">Approval of </w:t>
            </w:r>
            <w:r w:rsidR="0011711D" w:rsidRPr="0011711D">
              <w:rPr>
                <w:rFonts w:ascii="Arial" w:hAnsi="Arial" w:cs="Arial"/>
                <w:color w:val="000000"/>
                <w:szCs w:val="24"/>
              </w:rPr>
              <w:t xml:space="preserve">RP21820 Chick Webb Recreation Center Award on 1/18/2023.  The agency has asked that the approval be rescinded to allow the federal grant process to move forward in </w:t>
            </w:r>
            <w:r w:rsidR="001A02D0">
              <w:rPr>
                <w:rFonts w:ascii="Arial" w:hAnsi="Arial" w:cs="Arial"/>
                <w:color w:val="000000"/>
                <w:szCs w:val="24"/>
              </w:rPr>
              <w:t>compliance with government requirements.</w:t>
            </w:r>
            <w:r w:rsidR="0011711D" w:rsidRPr="0011711D">
              <w:rPr>
                <w:rFonts w:ascii="Arial" w:hAnsi="Arial" w:cs="Arial"/>
                <w:color w:val="000000"/>
                <w:szCs w:val="24"/>
              </w:rPr>
              <w:t xml:space="preserve"> The item will return to the Board at a future meeting for official approval at the conclusion of the grant process.</w:t>
            </w:r>
          </w:p>
        </w:tc>
      </w:tr>
      <w:tr w:rsidR="00EA2A37" w:rsidRPr="00C80AC4" w14:paraId="5199B532" w14:textId="77777777" w:rsidTr="00750A98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DE7A32A" w14:textId="52F02B04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3E807C5D" w14:textId="77777777" w:rsidR="00EA2A37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  <w:p w14:paraId="0A6B4DF0" w14:textId="716EB0C5" w:rsidR="00CD1684" w:rsidRPr="00C80AC4" w:rsidRDefault="00CD1684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6E98D5E" w14:textId="77777777" w:rsidTr="00750A98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0C9242C" w14:textId="178E3402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F7D59C5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7917C7FD" w14:textId="77777777" w:rsidTr="00750A98">
        <w:trPr>
          <w:trHeight w:val="366"/>
        </w:trPr>
        <w:tc>
          <w:tcPr>
            <w:tcW w:w="990" w:type="dxa"/>
            <w:vMerge/>
          </w:tcPr>
          <w:p w14:paraId="19677AB8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8E12ED5" w14:textId="2770472E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51CE797E" w14:textId="77777777" w:rsidR="00EA2A37" w:rsidRPr="00C80AC4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7F1FE61" w:rsidR="008B1317" w:rsidRPr="00C80AC4" w:rsidRDefault="00BB0D35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298-299</w:t>
            </w:r>
          </w:p>
        </w:tc>
        <w:tc>
          <w:tcPr>
            <w:tcW w:w="6491" w:type="dxa"/>
          </w:tcPr>
          <w:p w14:paraId="5E0BEE95" w14:textId="5E938D59" w:rsidR="00BB0D35" w:rsidRDefault="00BB0D35" w:rsidP="00B145B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SB-23-10432 </w:t>
            </w:r>
            <w:r w:rsidR="00B145BF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 xml:space="preserve">Transportation </w:t>
            </w:r>
            <w:r w:rsidR="00333431">
              <w:rPr>
                <w:rFonts w:ascii="Arial" w:hAnsi="Arial" w:cs="Arial"/>
                <w:szCs w:val="24"/>
              </w:rPr>
              <w:t xml:space="preserve">– Amendment to City’s Settlement Agreement with BGE: </w:t>
            </w:r>
            <w:r>
              <w:rPr>
                <w:rFonts w:ascii="Arial" w:hAnsi="Arial" w:cs="Arial"/>
                <w:b/>
                <w:szCs w:val="24"/>
              </w:rPr>
              <w:t xml:space="preserve">STATEMENTS OF OPPOSITION WERE RECEIVED FROM: </w:t>
            </w:r>
          </w:p>
          <w:p w14:paraId="4ACB1857" w14:textId="6C719FCA" w:rsidR="008B1317" w:rsidRPr="00A60801" w:rsidRDefault="00BB0D3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A60801">
              <w:rPr>
                <w:rFonts w:ascii="Arial" w:hAnsi="Arial" w:cs="Arial"/>
                <w:szCs w:val="24"/>
              </w:rPr>
              <w:t>Conduit Users</w:t>
            </w:r>
          </w:p>
          <w:p w14:paraId="62975E45" w14:textId="77777777" w:rsidR="00BB0D35" w:rsidRPr="00A60801" w:rsidRDefault="00BB0D3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A60801">
              <w:rPr>
                <w:rFonts w:ascii="Arial" w:hAnsi="Arial" w:cs="Arial"/>
                <w:szCs w:val="24"/>
              </w:rPr>
              <w:t>Ron Adolph</w:t>
            </w:r>
          </w:p>
          <w:p w14:paraId="14A7AB6C" w14:textId="77777777" w:rsidR="00BB0D35" w:rsidRPr="00A60801" w:rsidRDefault="00BB0D3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A60801">
              <w:rPr>
                <w:rFonts w:ascii="Arial" w:hAnsi="Arial" w:cs="Arial"/>
                <w:szCs w:val="24"/>
              </w:rPr>
              <w:t>Loch Raven Improvement Association</w:t>
            </w:r>
          </w:p>
          <w:p w14:paraId="49A938B9" w14:textId="77777777" w:rsidR="00BB0D35" w:rsidRPr="00A60801" w:rsidRDefault="00BB0D3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A60801">
              <w:rPr>
                <w:rFonts w:ascii="Arial" w:hAnsi="Arial" w:cs="Arial"/>
                <w:szCs w:val="24"/>
              </w:rPr>
              <w:t>NECO</w:t>
            </w:r>
          </w:p>
          <w:p w14:paraId="702C1F4A" w14:textId="77777777" w:rsidR="00BB0D35" w:rsidRDefault="00BB0D3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A60801">
              <w:rPr>
                <w:rFonts w:ascii="Arial" w:hAnsi="Arial" w:cs="Arial"/>
                <w:szCs w:val="24"/>
              </w:rPr>
              <w:t>Baltimore Green Justice Workers</w:t>
            </w:r>
          </w:p>
          <w:p w14:paraId="687CB35C" w14:textId="2DBE14AE" w:rsidR="00B938B0" w:rsidRPr="00BB0D35" w:rsidRDefault="00B938B0" w:rsidP="00B145B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24" w:type="dxa"/>
          </w:tcPr>
          <w:p w14:paraId="12F9AF36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9"/>
        <w:gridCol w:w="1171"/>
        <w:gridCol w:w="6805"/>
        <w:gridCol w:w="1189"/>
        <w:gridCol w:w="1244"/>
        <w:gridCol w:w="1737"/>
      </w:tblGrid>
      <w:tr w:rsidR="008B1317" w:rsidRPr="00C80AC4" w14:paraId="2A49391F" w14:textId="77777777" w:rsidTr="00495D5D">
        <w:trPr>
          <w:trHeight w:val="317"/>
        </w:trPr>
        <w:tc>
          <w:tcPr>
            <w:tcW w:w="989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76" w:type="dxa"/>
            <w:gridSpan w:val="2"/>
            <w:shd w:val="clear" w:color="auto" w:fill="auto"/>
          </w:tcPr>
          <w:p w14:paraId="6BDF21BF" w14:textId="0ED09224" w:rsidR="008B1317" w:rsidRPr="00C80AC4" w:rsidRDefault="008B1317" w:rsidP="00B145B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89" w:type="dxa"/>
            <w:shd w:val="clear" w:color="auto" w:fill="auto"/>
          </w:tcPr>
          <w:p w14:paraId="3064E178" w14:textId="77777777" w:rsidR="008B1317" w:rsidRPr="00C80AC4" w:rsidRDefault="008B1317" w:rsidP="00B145B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4" w:type="dxa"/>
            <w:shd w:val="clear" w:color="auto" w:fill="auto"/>
          </w:tcPr>
          <w:p w14:paraId="292A7596" w14:textId="77777777" w:rsidR="008B1317" w:rsidRPr="00C80AC4" w:rsidRDefault="008B1317" w:rsidP="00B145B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495D5D">
        <w:trPr>
          <w:trHeight w:val="317"/>
        </w:trPr>
        <w:tc>
          <w:tcPr>
            <w:tcW w:w="989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805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495D5D">
        <w:trPr>
          <w:trHeight w:val="317"/>
        </w:trPr>
        <w:tc>
          <w:tcPr>
            <w:tcW w:w="989" w:type="dxa"/>
            <w:vMerge/>
          </w:tcPr>
          <w:p w14:paraId="1CF1A837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765039FD" w14:textId="25F57A40" w:rsidR="008B1317" w:rsidRPr="00C80AC4" w:rsidRDefault="00495D5D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172-173</w:t>
            </w:r>
          </w:p>
        </w:tc>
        <w:tc>
          <w:tcPr>
            <w:tcW w:w="6805" w:type="dxa"/>
          </w:tcPr>
          <w:p w14:paraId="7ECD9BD0" w14:textId="5D417BF4" w:rsidR="008B1317" w:rsidRPr="00495D5D" w:rsidRDefault="00495D5D" w:rsidP="00B145B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872E63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110</w:t>
            </w:r>
            <w:r w:rsidR="006214C3">
              <w:rPr>
                <w:rFonts w:ascii="Arial" w:hAnsi="Arial" w:cs="Arial"/>
                <w:szCs w:val="24"/>
              </w:rPr>
              <w:t>44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72E63">
              <w:rPr>
                <w:rFonts w:ascii="Arial" w:hAnsi="Arial" w:cs="Arial"/>
                <w:szCs w:val="24"/>
              </w:rPr>
              <w:t xml:space="preserve">– BCIT - </w:t>
            </w:r>
            <w:r>
              <w:rPr>
                <w:rFonts w:ascii="Arial" w:hAnsi="Arial" w:cs="Arial"/>
                <w:szCs w:val="24"/>
              </w:rPr>
              <w:t>First Amendment to the Professional Services Agreement for Website Redesign is being</w:t>
            </w:r>
            <w:r w:rsidRPr="00495D5D">
              <w:rPr>
                <w:rFonts w:ascii="Arial" w:hAnsi="Arial" w:cs="Arial"/>
                <w:b/>
                <w:szCs w:val="24"/>
              </w:rPr>
              <w:t xml:space="preserve"> WITHDRAWN</w:t>
            </w:r>
          </w:p>
        </w:tc>
        <w:tc>
          <w:tcPr>
            <w:tcW w:w="1189" w:type="dxa"/>
          </w:tcPr>
          <w:p w14:paraId="30DF72F9" w14:textId="5165F0D2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074A9067" w14:textId="4ED49622" w:rsidR="008B1317" w:rsidRPr="00C80AC4" w:rsidRDefault="008B1317" w:rsidP="00B145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2928001" w14:textId="2BFDFDB3" w:rsidR="008B1317" w:rsidRPr="00C80AC4" w:rsidRDefault="007E0A87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BCIT</w:t>
            </w:r>
          </w:p>
        </w:tc>
      </w:tr>
      <w:tr w:rsidR="008B1317" w:rsidRPr="00C80AC4" w14:paraId="409F7ABC" w14:textId="77777777" w:rsidTr="00495D5D">
        <w:trPr>
          <w:trHeight w:val="317"/>
        </w:trPr>
        <w:tc>
          <w:tcPr>
            <w:tcW w:w="989" w:type="dxa"/>
            <w:vMerge/>
          </w:tcPr>
          <w:p w14:paraId="09616260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5DA1368A" w14:textId="0E80F509" w:rsidR="008B1317" w:rsidRPr="00C80AC4" w:rsidRDefault="000A30E1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6805" w:type="dxa"/>
          </w:tcPr>
          <w:p w14:paraId="0CB6358F" w14:textId="667C6C5D" w:rsidR="008B1317" w:rsidRPr="000A30E1" w:rsidRDefault="000A30E1" w:rsidP="00B145B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SB-23-10669 DHCD Condemnation or Redemption Ground Rent Interest 549 Robert Street is being </w:t>
            </w:r>
            <w:r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1189" w:type="dxa"/>
          </w:tcPr>
          <w:p w14:paraId="4531783B" w14:textId="488EB9B9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15DE3BA3" w14:textId="2677D21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09A2ABA4" w14:textId="0AB54456" w:rsidR="008B1317" w:rsidRPr="00C80AC4" w:rsidRDefault="000A30E1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DHCD</w:t>
            </w:r>
          </w:p>
        </w:tc>
      </w:tr>
      <w:tr w:rsidR="008B1317" w:rsidRPr="00C80AC4" w14:paraId="5DF76A1D" w14:textId="77777777" w:rsidTr="00495D5D">
        <w:trPr>
          <w:trHeight w:val="317"/>
        </w:trPr>
        <w:tc>
          <w:tcPr>
            <w:tcW w:w="989" w:type="dxa"/>
            <w:vMerge/>
          </w:tcPr>
          <w:p w14:paraId="5C1066D4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41345510" w14:textId="3F786ED8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5" w:type="dxa"/>
          </w:tcPr>
          <w:p w14:paraId="0FB02DB1" w14:textId="0A413415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</w:tcPr>
          <w:p w14:paraId="74D5A1D6" w14:textId="594C2FF0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42AE73F8" w14:textId="56A37F01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39A3DA38" w14:textId="2E60E7A5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EFD6053" w14:textId="77777777" w:rsidTr="00495D5D">
        <w:trPr>
          <w:trHeight w:val="317"/>
        </w:trPr>
        <w:tc>
          <w:tcPr>
            <w:tcW w:w="989" w:type="dxa"/>
            <w:vMerge/>
          </w:tcPr>
          <w:p w14:paraId="1A890244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77AEB738" w14:textId="7C45BDA3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5" w:type="dxa"/>
          </w:tcPr>
          <w:p w14:paraId="04B7D3A3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</w:tcPr>
          <w:p w14:paraId="1B3EC419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51F5A92E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8682918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B7B9748" w14:textId="77777777" w:rsidTr="00495D5D">
        <w:trPr>
          <w:trHeight w:val="317"/>
        </w:trPr>
        <w:tc>
          <w:tcPr>
            <w:tcW w:w="989" w:type="dxa"/>
            <w:vMerge/>
          </w:tcPr>
          <w:p w14:paraId="51E1A10A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49652B7D" w14:textId="15289B7C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5" w:type="dxa"/>
          </w:tcPr>
          <w:p w14:paraId="4942445C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</w:tcPr>
          <w:p w14:paraId="0E45511F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1445C19F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3219C72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3"/>
        <w:gridCol w:w="1166"/>
        <w:gridCol w:w="8489"/>
        <w:gridCol w:w="1243"/>
        <w:gridCol w:w="1254"/>
      </w:tblGrid>
      <w:tr w:rsidR="00555785" w:rsidRPr="00C80AC4" w14:paraId="351332D5" w14:textId="77777777" w:rsidTr="00872E63">
        <w:trPr>
          <w:trHeight w:val="268"/>
        </w:trPr>
        <w:tc>
          <w:tcPr>
            <w:tcW w:w="983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55" w:type="dxa"/>
            <w:gridSpan w:val="2"/>
            <w:shd w:val="clear" w:color="auto" w:fill="auto"/>
          </w:tcPr>
          <w:p w14:paraId="5BA754FD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3D746353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872E63">
        <w:trPr>
          <w:trHeight w:val="268"/>
        </w:trPr>
        <w:tc>
          <w:tcPr>
            <w:tcW w:w="983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48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872E63">
        <w:trPr>
          <w:trHeight w:val="268"/>
        </w:trPr>
        <w:tc>
          <w:tcPr>
            <w:tcW w:w="983" w:type="dxa"/>
            <w:vMerge/>
          </w:tcPr>
          <w:p w14:paraId="448D0D8E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</w:tcPr>
          <w:p w14:paraId="724DECC8" w14:textId="7A70A8F6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  <w:r w:rsidR="006C04D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489" w:type="dxa"/>
          </w:tcPr>
          <w:p w14:paraId="32819996" w14:textId="52807223" w:rsidR="00555785" w:rsidRPr="00C80AC4" w:rsidRDefault="006C04D9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BDC – SB-23-10740 – Lease Baltimore Arena Parking Garage</w:t>
            </w:r>
          </w:p>
        </w:tc>
        <w:tc>
          <w:tcPr>
            <w:tcW w:w="1243" w:type="dxa"/>
          </w:tcPr>
          <w:p w14:paraId="30EDDCBF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0872E63">
        <w:trPr>
          <w:trHeight w:val="268"/>
        </w:trPr>
        <w:tc>
          <w:tcPr>
            <w:tcW w:w="983" w:type="dxa"/>
            <w:vMerge/>
          </w:tcPr>
          <w:p w14:paraId="4C179032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</w:tcPr>
          <w:p w14:paraId="3F03AA1A" w14:textId="686DB38B" w:rsidR="00555785" w:rsidRPr="00C80AC4" w:rsidRDefault="006C04D9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6</w:t>
            </w:r>
          </w:p>
        </w:tc>
        <w:tc>
          <w:tcPr>
            <w:tcW w:w="8489" w:type="dxa"/>
          </w:tcPr>
          <w:p w14:paraId="0AA17C6B" w14:textId="17213C33" w:rsidR="00555785" w:rsidRPr="00C80AC4" w:rsidRDefault="002D5346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BDC – SB-23-10742 – Lease Baltimore Arena Parking Garage</w:t>
            </w:r>
          </w:p>
        </w:tc>
        <w:tc>
          <w:tcPr>
            <w:tcW w:w="1243" w:type="dxa"/>
          </w:tcPr>
          <w:p w14:paraId="702EC798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DAC114C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00872E63">
        <w:trPr>
          <w:trHeight w:val="268"/>
        </w:trPr>
        <w:tc>
          <w:tcPr>
            <w:tcW w:w="983" w:type="dxa"/>
            <w:vMerge/>
          </w:tcPr>
          <w:p w14:paraId="3FFC8B50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</w:tcPr>
          <w:p w14:paraId="567944AB" w14:textId="548BCC0A" w:rsidR="00555785" w:rsidRPr="00C80AC4" w:rsidRDefault="002D5346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791663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-13</w:t>
            </w:r>
            <w:r w:rsidR="0079166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89" w:type="dxa"/>
          </w:tcPr>
          <w:p w14:paraId="054C2E57" w14:textId="4601DE16" w:rsidR="00555785" w:rsidRPr="00C80AC4" w:rsidRDefault="002D5346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Dept. of Law – SB-23-11047 – Settlement Agreement and Release </w:t>
            </w:r>
          </w:p>
        </w:tc>
        <w:tc>
          <w:tcPr>
            <w:tcW w:w="1243" w:type="dxa"/>
          </w:tcPr>
          <w:p w14:paraId="569A6764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C7D5279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 w:rsidTr="00872E63">
        <w:trPr>
          <w:trHeight w:val="268"/>
        </w:trPr>
        <w:tc>
          <w:tcPr>
            <w:tcW w:w="983" w:type="dxa"/>
            <w:vMerge/>
          </w:tcPr>
          <w:p w14:paraId="04E80375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</w:tcPr>
          <w:p w14:paraId="53D95839" w14:textId="5BCDB5EC" w:rsidR="00555785" w:rsidRPr="00C80AC4" w:rsidRDefault="002D5346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791663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489" w:type="dxa"/>
          </w:tcPr>
          <w:p w14:paraId="541A6FCD" w14:textId="0EB27463" w:rsidR="002D5346" w:rsidRPr="00C80AC4" w:rsidRDefault="002D5346" w:rsidP="002D534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Law – SB-23-11067 – Settlement Agreement and Release</w:t>
            </w:r>
          </w:p>
        </w:tc>
        <w:tc>
          <w:tcPr>
            <w:tcW w:w="1243" w:type="dxa"/>
          </w:tcPr>
          <w:p w14:paraId="153FF74C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555785" w:rsidRPr="00C80AC4" w:rsidRDefault="00555785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E7902" w:rsidRPr="00C80AC4" w14:paraId="315E2315" w14:textId="77777777" w:rsidTr="00872E63">
        <w:trPr>
          <w:trHeight w:val="268"/>
        </w:trPr>
        <w:tc>
          <w:tcPr>
            <w:tcW w:w="983" w:type="dxa"/>
          </w:tcPr>
          <w:p w14:paraId="24CDC254" w14:textId="77777777" w:rsidR="007E7902" w:rsidRPr="00C80AC4" w:rsidRDefault="007E7902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</w:tcPr>
          <w:p w14:paraId="04A4E171" w14:textId="245736C0" w:rsidR="007E7902" w:rsidRDefault="007E7902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256-257</w:t>
            </w:r>
          </w:p>
        </w:tc>
        <w:tc>
          <w:tcPr>
            <w:tcW w:w="8489" w:type="dxa"/>
          </w:tcPr>
          <w:p w14:paraId="4469661F" w14:textId="0AA57967" w:rsidR="007E7902" w:rsidRDefault="007E7902" w:rsidP="002D534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Real Estate – SB-23-10659 – Memorandum of Understanding Baltimore County Center Place Road Project</w:t>
            </w:r>
          </w:p>
        </w:tc>
        <w:tc>
          <w:tcPr>
            <w:tcW w:w="1243" w:type="dxa"/>
          </w:tcPr>
          <w:p w14:paraId="1A7F8456" w14:textId="77777777" w:rsidR="007E7902" w:rsidRPr="00C80AC4" w:rsidRDefault="007E7902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9049F40" w14:textId="77777777" w:rsidR="007E7902" w:rsidRPr="00C80AC4" w:rsidRDefault="007E7902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33431" w:rsidRPr="00C80AC4" w14:paraId="0080F99B" w14:textId="77777777" w:rsidTr="00872E63">
        <w:trPr>
          <w:trHeight w:val="268"/>
        </w:trPr>
        <w:tc>
          <w:tcPr>
            <w:tcW w:w="983" w:type="dxa"/>
          </w:tcPr>
          <w:p w14:paraId="23F75DD9" w14:textId="77777777" w:rsidR="00333431" w:rsidRPr="00C80AC4" w:rsidRDefault="00333431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</w:tcPr>
          <w:p w14:paraId="63D81071" w14:textId="097C21AB" w:rsidR="00333431" w:rsidRPr="00333431" w:rsidRDefault="00333431" w:rsidP="00B145B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298-299</w:t>
            </w:r>
          </w:p>
        </w:tc>
        <w:tc>
          <w:tcPr>
            <w:tcW w:w="8489" w:type="dxa"/>
          </w:tcPr>
          <w:p w14:paraId="780FD066" w14:textId="4AE6BD08" w:rsidR="00333431" w:rsidRPr="00333431" w:rsidRDefault="00333431" w:rsidP="0033343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SB-23-10432 Dept. of Transportation Amendment to City’s Settlement Agreement with BGE. </w:t>
            </w:r>
            <w:r>
              <w:rPr>
                <w:rFonts w:ascii="Arial" w:hAnsi="Arial" w:cs="Arial"/>
                <w:b/>
                <w:szCs w:val="24"/>
              </w:rPr>
              <w:t xml:space="preserve">STATEMENTS OF OPPOSITION WERE RECEIVED FROM: </w:t>
            </w:r>
            <w:r w:rsidRPr="00333431">
              <w:rPr>
                <w:rFonts w:ascii="Arial" w:hAnsi="Arial" w:cs="Arial"/>
                <w:szCs w:val="24"/>
              </w:rPr>
              <w:t>Conduit Users</w:t>
            </w:r>
            <w:r w:rsidR="00B938B0">
              <w:rPr>
                <w:rFonts w:ascii="Arial" w:hAnsi="Arial" w:cs="Arial"/>
                <w:szCs w:val="24"/>
              </w:rPr>
              <w:t xml:space="preserve">, </w:t>
            </w:r>
            <w:r w:rsidRPr="00333431">
              <w:rPr>
                <w:rFonts w:ascii="Arial" w:hAnsi="Arial" w:cs="Arial"/>
                <w:szCs w:val="24"/>
              </w:rPr>
              <w:t>Ron Adolph</w:t>
            </w:r>
            <w:r w:rsidR="00B938B0">
              <w:rPr>
                <w:rFonts w:ascii="Arial" w:hAnsi="Arial" w:cs="Arial"/>
                <w:szCs w:val="24"/>
              </w:rPr>
              <w:t xml:space="preserve">, </w:t>
            </w:r>
            <w:r w:rsidRPr="00333431">
              <w:rPr>
                <w:rFonts w:ascii="Arial" w:hAnsi="Arial" w:cs="Arial"/>
                <w:szCs w:val="24"/>
              </w:rPr>
              <w:t>Loch Raven Improvement Association</w:t>
            </w:r>
            <w:r w:rsidR="00B938B0">
              <w:rPr>
                <w:rFonts w:ascii="Arial" w:hAnsi="Arial" w:cs="Arial"/>
                <w:szCs w:val="24"/>
              </w:rPr>
              <w:t>,</w:t>
            </w:r>
          </w:p>
          <w:p w14:paraId="72FBAB3F" w14:textId="35AC7EB1" w:rsidR="00333431" w:rsidRDefault="00333431" w:rsidP="00B938B0">
            <w:pPr>
              <w:jc w:val="left"/>
              <w:rPr>
                <w:rFonts w:ascii="Arial" w:hAnsi="Arial" w:cs="Arial"/>
                <w:szCs w:val="24"/>
              </w:rPr>
            </w:pPr>
            <w:r w:rsidRPr="00333431">
              <w:rPr>
                <w:rFonts w:ascii="Arial" w:hAnsi="Arial" w:cs="Arial"/>
                <w:szCs w:val="24"/>
              </w:rPr>
              <w:t>NECO</w:t>
            </w:r>
            <w:r w:rsidR="00B938B0">
              <w:rPr>
                <w:rFonts w:ascii="Arial" w:hAnsi="Arial" w:cs="Arial"/>
                <w:szCs w:val="24"/>
              </w:rPr>
              <w:t xml:space="preserve">, </w:t>
            </w:r>
            <w:r w:rsidRPr="00333431">
              <w:rPr>
                <w:rFonts w:ascii="Arial" w:hAnsi="Arial" w:cs="Arial"/>
                <w:szCs w:val="24"/>
              </w:rPr>
              <w:t>Baltimore Green Justice Workers</w:t>
            </w:r>
          </w:p>
        </w:tc>
        <w:tc>
          <w:tcPr>
            <w:tcW w:w="1243" w:type="dxa"/>
          </w:tcPr>
          <w:p w14:paraId="3BE574D1" w14:textId="77777777" w:rsidR="00333431" w:rsidRPr="00C80AC4" w:rsidRDefault="00333431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6CBF432D" w14:textId="77777777" w:rsidR="00333431" w:rsidRPr="00C80AC4" w:rsidRDefault="00333431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44A1E7C8" w:rsidR="00555785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245B70E" w14:textId="77777777" w:rsidR="00D74CA2" w:rsidRDefault="00D74CA2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390E3EAC" w14:textId="77777777" w:rsidR="00B938B0" w:rsidRPr="00C80AC4" w:rsidRDefault="00B938B0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068"/>
        <w:gridCol w:w="1170"/>
        <w:gridCol w:w="7020"/>
      </w:tblGrid>
      <w:tr w:rsidR="00EA2A37" w:rsidRPr="00D26CCD" w14:paraId="7C45568B" w14:textId="77777777" w:rsidTr="008028E1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170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8028E1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8028E1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170" w:type="dxa"/>
          </w:tcPr>
          <w:p w14:paraId="77E445E0" w14:textId="77777777" w:rsidR="008B1317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  <w:p w14:paraId="04A88897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4EABEB4E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  <w:p w14:paraId="1F642478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48AD7545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  <w:p w14:paraId="4FBAFDFE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5AF0827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2F59CEB6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  <w:p w14:paraId="161D960A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4AF0EA74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  <w:p w14:paraId="3AFC41D0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1D0E0A42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</w:t>
            </w:r>
          </w:p>
          <w:p w14:paraId="706FA573" w14:textId="77777777" w:rsidR="00FB291E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00FA9EAA" w14:textId="3CC92037" w:rsidR="00FB291E" w:rsidRPr="00D26CCD" w:rsidRDefault="00FB291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7020" w:type="dxa"/>
          </w:tcPr>
          <w:p w14:paraId="3FCEDFF1" w14:textId="77777777" w:rsidR="00EA2A37" w:rsidRDefault="00FB291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Fire Dept. SB-23-10981 – Johns Hopkins University Dell House License and Hold Harmless Agreement</w:t>
            </w:r>
          </w:p>
          <w:p w14:paraId="074B50C7" w14:textId="77777777" w:rsidR="00FB291E" w:rsidRDefault="00FB291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Dept. SB-23-10927 – Johns Hopkins University – Ryan White Early Intervention Services.</w:t>
            </w:r>
          </w:p>
          <w:p w14:paraId="4E316831" w14:textId="77777777" w:rsidR="00FB291E" w:rsidRDefault="00FB291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Dept, SB-23-10803 – Johns Hopkins University School of Medicine Ryan White State Special Psychosocial Support Services</w:t>
            </w:r>
          </w:p>
          <w:p w14:paraId="494D8351" w14:textId="77777777" w:rsidR="00FB291E" w:rsidRDefault="00FB291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Dept. SB-23-10879 Johns Hopkins University OB/GYN Non Medical Case Management BCHD791</w:t>
            </w:r>
          </w:p>
          <w:p w14:paraId="7C09C4F9" w14:textId="77777777" w:rsidR="00FB291E" w:rsidRDefault="00FB291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Dept. SB-23-11109 Johns Hopkins University Agreement</w:t>
            </w:r>
          </w:p>
          <w:p w14:paraId="267F8ADB" w14:textId="77777777" w:rsidR="00FB291E" w:rsidRDefault="00FB291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Dept. SB-23-10870 Johns Hopkins University Provider Agreement</w:t>
            </w:r>
          </w:p>
          <w:p w14:paraId="3FFEDE17" w14:textId="78BFABB6" w:rsidR="00FB291E" w:rsidRPr="00D26CCD" w:rsidRDefault="00FB291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Health Dept. SB-23-10802 Johns Hopkins University School of Medicine Ryan White State Special Housing </w:t>
            </w:r>
          </w:p>
        </w:tc>
      </w:tr>
      <w:tr w:rsidR="00EA2A37" w:rsidRPr="00D26CCD" w14:paraId="7F66200E" w14:textId="77777777" w:rsidTr="008028E1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170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860A9FE" w14:textId="4E06492D" w:rsidR="00750A98" w:rsidRPr="00D26CCD" w:rsidRDefault="00750A98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</w:t>
            </w:r>
          </w:p>
        </w:tc>
      </w:tr>
      <w:tr w:rsidR="00EA2A37" w:rsidRPr="00D26CCD" w14:paraId="082F905F" w14:textId="77777777" w:rsidTr="008028E1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170" w:type="dxa"/>
          </w:tcPr>
          <w:p w14:paraId="564CE3D3" w14:textId="254E1FCF" w:rsidR="008B1317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8</w:t>
            </w:r>
          </w:p>
          <w:p w14:paraId="790F0F4B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7802A99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  <w:p w14:paraId="289FE08A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14:paraId="7B9C4C4B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4A94C245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55-56</w:t>
            </w:r>
          </w:p>
          <w:p w14:paraId="3D908C7F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</w:t>
            </w:r>
          </w:p>
          <w:p w14:paraId="08FC8E2B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</w:t>
            </w:r>
          </w:p>
          <w:p w14:paraId="212299D1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132-133</w:t>
            </w:r>
          </w:p>
          <w:p w14:paraId="7CDD4EB8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142</w:t>
            </w:r>
          </w:p>
          <w:p w14:paraId="1F1F789E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143</w:t>
            </w:r>
          </w:p>
          <w:p w14:paraId="0662F2C0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159-160</w:t>
            </w:r>
          </w:p>
          <w:p w14:paraId="2E0E316C" w14:textId="77777777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166-167</w:t>
            </w:r>
          </w:p>
          <w:p w14:paraId="211DEC3B" w14:textId="77777777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180-181</w:t>
            </w:r>
          </w:p>
          <w:p w14:paraId="5FD07328" w14:textId="0994CCBB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186-188</w:t>
            </w:r>
          </w:p>
          <w:p w14:paraId="2C7ED496" w14:textId="18AE503E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2491484" w14:textId="19E78232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192-194</w:t>
            </w:r>
          </w:p>
          <w:p w14:paraId="018BF4A8" w14:textId="77777777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4CA86ECB" w14:textId="77777777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</w:t>
            </w:r>
          </w:p>
          <w:p w14:paraId="10CC1094" w14:textId="2F9D679B" w:rsidR="008028E1" w:rsidRPr="00D26CCD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280</w:t>
            </w:r>
          </w:p>
        </w:tc>
        <w:tc>
          <w:tcPr>
            <w:tcW w:w="7020" w:type="dxa"/>
          </w:tcPr>
          <w:p w14:paraId="6C4E7D6E" w14:textId="6DE39492" w:rsidR="00EA2A37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SB-23-11182 – Employee’s Retirement Systems </w:t>
            </w:r>
            <w:r w:rsidR="006C04D9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Travel Request</w:t>
            </w:r>
          </w:p>
          <w:p w14:paraId="3499AD1E" w14:textId="4FF0AAC0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SB-23-11187 – Fire </w:t>
            </w:r>
            <w:r w:rsidR="006C04D9">
              <w:rPr>
                <w:rFonts w:ascii="Arial" w:hAnsi="Arial" w:cs="Arial"/>
                <w:szCs w:val="24"/>
              </w:rPr>
              <w:t xml:space="preserve">Dept. - </w:t>
            </w:r>
            <w:r>
              <w:rPr>
                <w:rFonts w:ascii="Arial" w:hAnsi="Arial" w:cs="Arial"/>
                <w:szCs w:val="24"/>
              </w:rPr>
              <w:t>Travel Request</w:t>
            </w:r>
          </w:p>
          <w:p w14:paraId="5CD03F50" w14:textId="070DBDA2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SB-23-11203 – Fire &amp; Police Employee’s Retirement System Travel Request</w:t>
            </w:r>
          </w:p>
          <w:p w14:paraId="50049445" w14:textId="12F09488" w:rsidR="0000739C" w:rsidRPr="00D26CCD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SB-23-11000 – DHCD Travel Request</w:t>
            </w:r>
          </w:p>
          <w:p w14:paraId="0015684E" w14:textId="60EF5EDB" w:rsidR="00EA2A37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SB-23-11171 – Law Dept. Travel Request</w:t>
            </w:r>
          </w:p>
          <w:p w14:paraId="36F35511" w14:textId="6F72AC4B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SB-23-11081- Law Dept. Travel Request</w:t>
            </w:r>
          </w:p>
          <w:p w14:paraId="3885811B" w14:textId="46AB4A78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SB-23-10901 - Law Dept. Travel Request</w:t>
            </w:r>
          </w:p>
          <w:p w14:paraId="2D374E75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SB-23-11258 – Mayor’s Office Travel Request</w:t>
            </w:r>
          </w:p>
          <w:p w14:paraId="5026123A" w14:textId="77777777" w:rsidR="0000739C" w:rsidRDefault="0000739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SB-23-11257 – Mayor’s Office Travel Request</w:t>
            </w:r>
          </w:p>
          <w:p w14:paraId="58FFB059" w14:textId="4CC125A6" w:rsidR="0000739C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SB-23-10929 – Office of Homeless Services Travel Request</w:t>
            </w:r>
          </w:p>
          <w:p w14:paraId="366EF7F0" w14:textId="39866C19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SB-23-11259 - BCIT – Travel Request</w:t>
            </w:r>
          </w:p>
          <w:p w14:paraId="4DD5C672" w14:textId="248EA976" w:rsidR="006C04D9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SB-23-11253 – MONSE – Travel Request</w:t>
            </w:r>
          </w:p>
          <w:p w14:paraId="2D5AA5BB" w14:textId="0E371EF7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Planning SB-23-11167, SB-23-11261 and SB-23-11231 Travel Requests</w:t>
            </w:r>
          </w:p>
          <w:p w14:paraId="7074960B" w14:textId="6302397A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SB-23-11225, SB-23-11227 and SB-23-11260 Travel Requests</w:t>
            </w:r>
          </w:p>
          <w:p w14:paraId="178F64C9" w14:textId="3F75CE5E" w:rsidR="008028E1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SB-23-11243 – DPW</w:t>
            </w:r>
            <w:r w:rsidR="006C04D9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Travel Request</w:t>
            </w:r>
          </w:p>
          <w:p w14:paraId="6E107398" w14:textId="237A86B6" w:rsidR="008028E1" w:rsidRPr="00D26CCD" w:rsidRDefault="008028E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SB-23-11267 </w:t>
            </w:r>
            <w:r w:rsidR="006C04D9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C04D9">
              <w:rPr>
                <w:rFonts w:ascii="Arial" w:hAnsi="Arial" w:cs="Arial"/>
                <w:szCs w:val="24"/>
              </w:rPr>
              <w:t>Telecom – Travel Request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A2A37" w:rsidRPr="00D26CCD" w14:paraId="7868A1CB" w14:textId="77777777" w:rsidTr="008028E1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122D0FB3" w14:textId="77777777" w:rsidR="008B1317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129</w:t>
            </w:r>
          </w:p>
          <w:p w14:paraId="6AA0CA9A" w14:textId="77777777" w:rsidR="00750A98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</w:t>
            </w:r>
          </w:p>
          <w:p w14:paraId="265448F0" w14:textId="77777777" w:rsidR="00750A98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</w:t>
            </w:r>
          </w:p>
          <w:p w14:paraId="25739454" w14:textId="77777777" w:rsidR="00750A98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132-133</w:t>
            </w:r>
          </w:p>
          <w:p w14:paraId="5D69F2DF" w14:textId="561ED688" w:rsidR="00750A98" w:rsidRPr="00D26CCD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140-141</w:t>
            </w:r>
          </w:p>
        </w:tc>
        <w:tc>
          <w:tcPr>
            <w:tcW w:w="7020" w:type="dxa"/>
          </w:tcPr>
          <w:p w14:paraId="10F60CE8" w14:textId="3567EAF3" w:rsidR="008B1317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Law SB-23-11088 Employee Expense Reimbursement</w:t>
            </w:r>
          </w:p>
          <w:p w14:paraId="65B6F9E9" w14:textId="77777777" w:rsidR="00750A98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Law SB-23-1117 Travel Request</w:t>
            </w:r>
          </w:p>
          <w:p w14:paraId="2AA684F1" w14:textId="77777777" w:rsidR="00750A98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Law SB-23-11081 Travel Request</w:t>
            </w:r>
          </w:p>
          <w:p w14:paraId="20A3212E" w14:textId="77777777" w:rsidR="00750A98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Law SB-23-10901 Travel Request</w:t>
            </w:r>
          </w:p>
          <w:p w14:paraId="449738BE" w14:textId="4B3CE97C" w:rsidR="00750A98" w:rsidRPr="00D26CCD" w:rsidRDefault="00750A9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Law SB-23-10895 Transfer of Funds – Transfer and Allocation of Fund</w:t>
            </w:r>
          </w:p>
        </w:tc>
      </w:tr>
      <w:tr w:rsidR="00EA2A37" w:rsidRPr="00D26CCD" w14:paraId="3DE92020" w14:textId="77777777" w:rsidTr="008028E1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170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8028E1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170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3D42367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1910FA8A" w14:textId="77777777" w:rsidTr="008028E1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</w:tcPr>
          <w:p w14:paraId="28BDEBBF" w14:textId="5A20DA89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170" w:type="dxa"/>
          </w:tcPr>
          <w:p w14:paraId="1909D408" w14:textId="4CEC4492" w:rsidR="00C80AC4" w:rsidRPr="00D26CCD" w:rsidRDefault="00495D5D" w:rsidP="00C80A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7020" w:type="dxa"/>
          </w:tcPr>
          <w:p w14:paraId="291801FC" w14:textId="2AE5CEED" w:rsidR="00C80AC4" w:rsidRPr="00D26CCD" w:rsidRDefault="00495D5D" w:rsidP="00C80A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Dept. of Public Works – Travel Request </w:t>
            </w: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3DD0AF0C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3780"/>
        <w:gridCol w:w="1440"/>
        <w:gridCol w:w="70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B145B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6C04D9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6C04D9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</w:tcPr>
          <w:p w14:paraId="0E74A576" w14:textId="332EE7DE" w:rsidR="00EA2A37" w:rsidRPr="00D26CCD" w:rsidRDefault="00791663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 Nick Mosby</w:t>
            </w:r>
          </w:p>
        </w:tc>
        <w:tc>
          <w:tcPr>
            <w:tcW w:w="1440" w:type="dxa"/>
          </w:tcPr>
          <w:p w14:paraId="282D7008" w14:textId="77777777" w:rsidR="00EA2A37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148</w:t>
            </w:r>
          </w:p>
          <w:p w14:paraId="1FFAF2BB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163</w:t>
            </w:r>
          </w:p>
          <w:p w14:paraId="767F5D3D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</w:p>
          <w:p w14:paraId="394DA926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184</w:t>
            </w:r>
          </w:p>
          <w:p w14:paraId="19126058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</w:p>
          <w:p w14:paraId="2D5A50F8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185</w:t>
            </w:r>
          </w:p>
          <w:p w14:paraId="5F9322D8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</w:p>
          <w:p w14:paraId="42F0349E" w14:textId="49E2AD47" w:rsidR="00107C4C" w:rsidRPr="00D26CCD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192</w:t>
            </w:r>
          </w:p>
        </w:tc>
        <w:tc>
          <w:tcPr>
            <w:tcW w:w="7020" w:type="dxa"/>
          </w:tcPr>
          <w:p w14:paraId="0BB5D4E9" w14:textId="77BDD8BD" w:rsidR="00EA2A37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SB-23-11018 MOED Grant Expenditure Provider Agreement</w:t>
            </w:r>
          </w:p>
          <w:p w14:paraId="2B74D9F5" w14:textId="7E72106A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SB-23-10912 MOED Grant Expenditure Subrecipient Grant Agreement</w:t>
            </w:r>
          </w:p>
          <w:p w14:paraId="29409C82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SB-23-10741 – Dept. of Planning Grant Expenditure Subrecipient Grant Agreement</w:t>
            </w:r>
          </w:p>
          <w:p w14:paraId="597E2768" w14:textId="77777777" w:rsidR="00107C4C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SB-23-10723 – Dept. of Planning Grant Expenditure Subrecipient Grant Agreement</w:t>
            </w:r>
          </w:p>
          <w:p w14:paraId="141F5FB4" w14:textId="41A8A59D" w:rsidR="00107C4C" w:rsidRPr="00D26CCD" w:rsidRDefault="00107C4C" w:rsidP="00B145B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SB-23-11225 – Police Dept. Travel Request</w:t>
            </w:r>
          </w:p>
        </w:tc>
      </w:tr>
      <w:tr w:rsidR="00791663" w:rsidRPr="00D26CCD" w14:paraId="723B796A" w14:textId="77777777" w:rsidTr="006C04D9">
        <w:trPr>
          <w:trHeight w:val="383"/>
        </w:trPr>
        <w:tc>
          <w:tcPr>
            <w:tcW w:w="990" w:type="dxa"/>
            <w:vMerge/>
          </w:tcPr>
          <w:p w14:paraId="62A3F5F6" w14:textId="77777777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</w:tcPr>
          <w:p w14:paraId="0C692DE0" w14:textId="21EAF74D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09F0BC92" w14:textId="0967DF8A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37ED7AC" w14:textId="2BDE3D9E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91663" w:rsidRPr="00D26CCD" w14:paraId="7F35568F" w14:textId="77777777" w:rsidTr="006C04D9">
        <w:trPr>
          <w:trHeight w:val="383"/>
        </w:trPr>
        <w:tc>
          <w:tcPr>
            <w:tcW w:w="990" w:type="dxa"/>
            <w:vMerge/>
          </w:tcPr>
          <w:p w14:paraId="284F0AE4" w14:textId="77777777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</w:tcPr>
          <w:p w14:paraId="4F74764A" w14:textId="471FC17F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6EADC640" w14:textId="3A119456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B9B7113" w14:textId="77777777" w:rsidR="00791663" w:rsidRPr="00D26CCD" w:rsidRDefault="00791663" w:rsidP="00791663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40490839" w:rsidR="00B938B0" w:rsidRDefault="00B938B0" w:rsidP="00875740">
      <w:pPr>
        <w:jc w:val="left"/>
        <w:rPr>
          <w:rFonts w:ascii="Arial" w:hAnsi="Arial" w:cs="Arial"/>
          <w:b/>
          <w:szCs w:val="24"/>
        </w:rPr>
      </w:pPr>
    </w:p>
    <w:p w14:paraId="4CCD55E9" w14:textId="0E8A2E36" w:rsidR="00B938B0" w:rsidRDefault="00B938B0">
      <w:pPr>
        <w:spacing w:after="160" w:line="259" w:lineRule="auto"/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B145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F4261B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6B1D" w14:textId="77777777" w:rsidR="0086264D" w:rsidRDefault="0086264D" w:rsidP="00A53D00">
      <w:r>
        <w:separator/>
      </w:r>
    </w:p>
  </w:endnote>
  <w:endnote w:type="continuationSeparator" w:id="0">
    <w:p w14:paraId="3B035419" w14:textId="77777777" w:rsidR="0086264D" w:rsidRDefault="0086264D" w:rsidP="00A53D00">
      <w:r>
        <w:continuationSeparator/>
      </w:r>
    </w:p>
  </w:endnote>
  <w:endnote w:type="continuationNotice" w:id="1">
    <w:p w14:paraId="5C5A2790" w14:textId="77777777" w:rsidR="0086264D" w:rsidRDefault="0086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86264D" w:rsidRDefault="0086264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</w:p>
  <w:p w14:paraId="06116873" w14:textId="77777777" w:rsidR="0086264D" w:rsidRDefault="00862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2CE0" w14:textId="77777777" w:rsidR="0086264D" w:rsidRDefault="0086264D" w:rsidP="00A53D00">
      <w:r>
        <w:separator/>
      </w:r>
    </w:p>
  </w:footnote>
  <w:footnote w:type="continuationSeparator" w:id="0">
    <w:p w14:paraId="42D6599E" w14:textId="77777777" w:rsidR="0086264D" w:rsidRDefault="0086264D" w:rsidP="00A53D00">
      <w:r>
        <w:continuationSeparator/>
      </w:r>
    </w:p>
  </w:footnote>
  <w:footnote w:type="continuationNotice" w:id="1">
    <w:p w14:paraId="04156575" w14:textId="77777777" w:rsidR="0086264D" w:rsidRDefault="0086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86264D" w:rsidRPr="00C80AC4" w:rsidRDefault="0086264D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0739C"/>
    <w:rsid w:val="00062EF9"/>
    <w:rsid w:val="000A30E1"/>
    <w:rsid w:val="00107C4C"/>
    <w:rsid w:val="0011711D"/>
    <w:rsid w:val="001A02D0"/>
    <w:rsid w:val="001A34D6"/>
    <w:rsid w:val="001A4F57"/>
    <w:rsid w:val="002D5346"/>
    <w:rsid w:val="002E36EA"/>
    <w:rsid w:val="00333431"/>
    <w:rsid w:val="003477E2"/>
    <w:rsid w:val="00463099"/>
    <w:rsid w:val="00495A00"/>
    <w:rsid w:val="00495D5D"/>
    <w:rsid w:val="004F2860"/>
    <w:rsid w:val="00555785"/>
    <w:rsid w:val="005602DD"/>
    <w:rsid w:val="005A0D8D"/>
    <w:rsid w:val="005B151D"/>
    <w:rsid w:val="006214C3"/>
    <w:rsid w:val="00642D94"/>
    <w:rsid w:val="006453CF"/>
    <w:rsid w:val="006C04D9"/>
    <w:rsid w:val="00716403"/>
    <w:rsid w:val="00750A98"/>
    <w:rsid w:val="00791663"/>
    <w:rsid w:val="007E0A87"/>
    <w:rsid w:val="007E7902"/>
    <w:rsid w:val="008028E1"/>
    <w:rsid w:val="008221B2"/>
    <w:rsid w:val="0086264D"/>
    <w:rsid w:val="00872E63"/>
    <w:rsid w:val="00875740"/>
    <w:rsid w:val="008B1317"/>
    <w:rsid w:val="008C7D85"/>
    <w:rsid w:val="00924B81"/>
    <w:rsid w:val="00983110"/>
    <w:rsid w:val="00A06951"/>
    <w:rsid w:val="00A53D00"/>
    <w:rsid w:val="00A60801"/>
    <w:rsid w:val="00A62E80"/>
    <w:rsid w:val="00AC2575"/>
    <w:rsid w:val="00AC3DFA"/>
    <w:rsid w:val="00B145BF"/>
    <w:rsid w:val="00B22D12"/>
    <w:rsid w:val="00B640AB"/>
    <w:rsid w:val="00B76326"/>
    <w:rsid w:val="00B82FB8"/>
    <w:rsid w:val="00B83528"/>
    <w:rsid w:val="00B938B0"/>
    <w:rsid w:val="00B95B1C"/>
    <w:rsid w:val="00BB0D35"/>
    <w:rsid w:val="00C14638"/>
    <w:rsid w:val="00C40509"/>
    <w:rsid w:val="00C80AC4"/>
    <w:rsid w:val="00CD1684"/>
    <w:rsid w:val="00D26CCD"/>
    <w:rsid w:val="00D641D1"/>
    <w:rsid w:val="00D74CA2"/>
    <w:rsid w:val="00D909A1"/>
    <w:rsid w:val="00DC2698"/>
    <w:rsid w:val="00E165A6"/>
    <w:rsid w:val="00E97551"/>
    <w:rsid w:val="00EA2A37"/>
    <w:rsid w:val="00F248E2"/>
    <w:rsid w:val="00F4261B"/>
    <w:rsid w:val="00F5795D"/>
    <w:rsid w:val="00FB291E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5983808-33c6-40d7-b740-881628301918"/>
    <ds:schemaRef ds:uri="bd958d24-aa26-4702-9457-8b3c02f307ab"/>
  </ds:schemaRefs>
</ds:datastoreItem>
</file>

<file path=customXml/itemProps2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18</cp:revision>
  <cp:lastPrinted>2023-04-05T12:48:00Z</cp:lastPrinted>
  <dcterms:created xsi:type="dcterms:W3CDTF">2023-04-03T20:50:00Z</dcterms:created>
  <dcterms:modified xsi:type="dcterms:W3CDTF">2023-04-05T15:30:00Z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